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2">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 諮商心理師倫理申訴案件處理要點</w:t>
      </w:r>
    </w:p>
    <w:p w:rsidR="00000000" w:rsidDel="00000000" w:rsidP="00000000" w:rsidRDefault="00000000" w:rsidRPr="00000000" w14:paraId="00000003">
      <w:pPr>
        <w:spacing w:line="360" w:lineRule="auto"/>
        <w:jc w:val="right"/>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中華民國113年8月7日第一屆113年第三次理監事會議通過</w:t>
      </w:r>
    </w:p>
    <w:p w:rsidR="00000000" w:rsidDel="00000000" w:rsidP="00000000" w:rsidRDefault="00000000" w:rsidRPr="00000000" w14:paraId="00000004">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壹、總則</w:t>
      </w:r>
    </w:p>
    <w:p w:rsidR="00000000" w:rsidDel="00000000" w:rsidP="00000000" w:rsidRDefault="00000000" w:rsidRPr="00000000" w14:paraId="00000005">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一、苗栗縣諮商心理師公會（以下簡稱本會）依據本會組織章程及</w:t>
      </w:r>
    </w:p>
    <w:p w:rsidR="00000000" w:rsidDel="00000000" w:rsidP="00000000" w:rsidRDefault="00000000" w:rsidRPr="00000000" w14:paraId="00000006">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本會諮商倫理委員會設置辦法之規定，訂定「諮商倫理申訴案</w:t>
      </w:r>
    </w:p>
    <w:p w:rsidR="00000000" w:rsidDel="00000000" w:rsidP="00000000" w:rsidRDefault="00000000" w:rsidRPr="00000000" w14:paraId="00000007">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件處理要點」（以下簡稱本要點）。</w:t>
      </w:r>
    </w:p>
    <w:p w:rsidR="00000000" w:rsidDel="00000000" w:rsidP="00000000" w:rsidRDefault="00000000" w:rsidRPr="00000000" w14:paraId="00000008">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二、本要點旨在落實專業自律與倫理守則之推動，及倫理申訴案件</w:t>
      </w:r>
    </w:p>
    <w:p w:rsidR="00000000" w:rsidDel="00000000" w:rsidP="00000000" w:rsidRDefault="00000000" w:rsidRPr="00000000" w14:paraId="00000009">
      <w:pPr>
        <w:spacing w:line="36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之處理，以確保會員與當事人權益，提升本會專業形象與會員服務品質。</w:t>
      </w:r>
    </w:p>
    <w:p w:rsidR="00000000" w:rsidDel="00000000" w:rsidP="00000000" w:rsidRDefault="00000000" w:rsidRPr="00000000" w14:paraId="0000000A">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三、本要點被申訴人需為本會會員，申訴者與檢舉者不在此限。</w:t>
      </w:r>
    </w:p>
    <w:p w:rsidR="00000000" w:rsidDel="00000000" w:rsidP="00000000" w:rsidRDefault="00000000" w:rsidRPr="00000000" w14:paraId="0000000B">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四、本會會員被申訴時，該倫理申訴案件之受理、調查、仲裁與懲</w:t>
      </w:r>
    </w:p>
    <w:p w:rsidR="00000000" w:rsidDel="00000000" w:rsidP="00000000" w:rsidRDefault="00000000" w:rsidRPr="00000000" w14:paraId="0000000C">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戒等由本會之諮商倫理委員會（以下簡稱倫理委員會）審議。</w:t>
      </w:r>
    </w:p>
    <w:p w:rsidR="00000000" w:rsidDel="00000000" w:rsidP="00000000" w:rsidRDefault="00000000" w:rsidRPr="00000000" w14:paraId="0000000D">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160" w:before="0" w:line="360" w:lineRule="auto"/>
        <w:ind w:left="567"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倫理委員會受理申訴之原則</w:t>
      </w:r>
    </w:p>
    <w:p w:rsidR="00000000" w:rsidDel="00000000" w:rsidP="00000000" w:rsidRDefault="00000000" w:rsidRPr="00000000" w14:paraId="0000000F">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一、倫理委員會調查及審議倫理申訴案件時，應秉持公正、獨立</w:t>
      </w:r>
    </w:p>
    <w:p w:rsidR="00000000" w:rsidDel="00000000" w:rsidP="00000000" w:rsidRDefault="00000000" w:rsidRPr="00000000" w14:paraId="00000010">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原則。</w:t>
      </w:r>
    </w:p>
    <w:p w:rsidR="00000000" w:rsidDel="00000000" w:rsidP="00000000" w:rsidRDefault="00000000" w:rsidRPr="00000000" w14:paraId="00000011">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二、委員應輪流受理倫理申訴案件，若有因身分或關係上之顧慮而</w:t>
      </w:r>
    </w:p>
    <w:p w:rsidR="00000000" w:rsidDel="00000000" w:rsidP="00000000" w:rsidRDefault="00000000" w:rsidRPr="00000000" w14:paraId="00000012">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不適合受理特定案件時，則可不受輪流受理原則為限。</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受理諮商倫理案件申訴時，應查明被申訴人是否為現任會員方</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受理，如被申訴人會籍變動，即轉知其所屬公會處理。</w:t>
      </w:r>
    </w:p>
    <w:p w:rsidR="00000000" w:rsidDel="00000000" w:rsidP="00000000" w:rsidRDefault="00000000" w:rsidRPr="00000000" w14:paraId="00000015">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6">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參、申訴提出管道與處理時間</w:t>
      </w:r>
    </w:p>
    <w:p w:rsidR="00000000" w:rsidDel="00000000" w:rsidP="00000000" w:rsidRDefault="00000000" w:rsidRPr="00000000" w14:paraId="00000017">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一、申訴人應以書面方式，以具名的方式填具「諮商倫理案件申訴</w:t>
      </w:r>
    </w:p>
    <w:p w:rsidR="00000000" w:rsidDel="00000000" w:rsidP="00000000" w:rsidRDefault="00000000" w:rsidRPr="00000000" w14:paraId="00000018">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書」，並檢附相關事證，向倫理委員會提出申訴。</w:t>
      </w:r>
    </w:p>
    <w:p w:rsidR="00000000" w:rsidDel="00000000" w:rsidP="00000000" w:rsidRDefault="00000000" w:rsidRPr="00000000" w14:paraId="0000001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120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本會接獲申訴文件後，三個工作日內須轉知倫理委員會於一個月內組成審查小組決定是否受理，並以正式書面通知申訴人、被申訴人。不受理時，應於書面通知書中告知申訴人不受理之理由。</w:t>
      </w:r>
    </w:p>
    <w:p w:rsidR="00000000" w:rsidDel="00000000" w:rsidP="00000000" w:rsidRDefault="00000000" w:rsidRPr="00000000" w14:paraId="000000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0" w:line="360" w:lineRule="auto"/>
        <w:ind w:left="120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倫理委員會倫理申訴案件應於審查會議決議受理申訴案之日起三個月內完成審議，審議結果通知書由召集人分派專人撰寫之，並經出席會議之審議委員簽名確認後，另以倫理委員會名義雙掛號郵寄寄送申訴兩方。</w:t>
      </w:r>
    </w:p>
    <w:p w:rsidR="00000000" w:rsidDel="00000000" w:rsidP="00000000" w:rsidRDefault="00000000" w:rsidRPr="00000000" w14:paraId="0000001B">
      <w:pPr>
        <w:spacing w:line="36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案件受理成立後，即由本會將「諮商倫理申訴案件處理要點」、「社團法人中華民國諮商心理師公會全國聯合會之倫理守則」、「誠實證言之宣誓切結書空白表格」寄交申訴人，並通知申訴人有關正式申訴書及相關證據、文件等資料之影本將提供給被申訴人。</w:t>
      </w:r>
    </w:p>
    <w:p w:rsidR="00000000" w:rsidDel="00000000" w:rsidP="00000000" w:rsidRDefault="00000000" w:rsidRPr="00000000" w14:paraId="0000001C">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D">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肆、知會被申訴人與被申訴人之權益</w:t>
      </w:r>
    </w:p>
    <w:p w:rsidR="00000000" w:rsidDel="00000000" w:rsidP="00000000" w:rsidRDefault="00000000" w:rsidRPr="00000000" w14:paraId="0000001E">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 被申訴人可對申訴內容提出答辯，並針對所涉及違反倫理之狀</w:t>
      </w:r>
    </w:p>
    <w:p w:rsidR="00000000" w:rsidDel="00000000" w:rsidP="00000000" w:rsidRDefault="00000000" w:rsidRPr="00000000" w14:paraId="0000001F">
      <w:pPr>
        <w:spacing w:line="360"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況出說明，所有的答辯內容需接獲通知後15日內以書面回覆，並提供相關證據。</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進入審議程序後，申訴人得以書面或口頭方式對倫理委員會進行說明或答辯。倫理委員會得邀申訴人、被申訴人或相關人員  列席會議。</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申訴人或被申訴人不服倫理委員會申訴案審議結果，得向中華民國諮商心理師公會全國聯合會倫理委員會提出上訴。</w:t>
      </w:r>
    </w:p>
    <w:p w:rsidR="00000000" w:rsidDel="00000000" w:rsidP="00000000" w:rsidRDefault="00000000" w:rsidRPr="00000000" w14:paraId="00000022">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23">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伍、組成倫理委員會</w:t>
      </w:r>
    </w:p>
    <w:p w:rsidR="00000000" w:rsidDel="00000000" w:rsidP="00000000" w:rsidRDefault="00000000" w:rsidRPr="00000000" w14:paraId="00000024">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一、倫理委員會設置委員7人，由理事長提名對諮商專業倫理與法</w:t>
      </w:r>
    </w:p>
    <w:p w:rsidR="00000000" w:rsidDel="00000000" w:rsidP="00000000" w:rsidRDefault="00000000" w:rsidRPr="00000000" w14:paraId="00000025">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律有學養與經驗者，經理事會議同意後聘任之，委員任期與當</w:t>
      </w:r>
    </w:p>
    <w:p w:rsidR="00000000" w:rsidDel="00000000" w:rsidP="00000000" w:rsidRDefault="00000000" w:rsidRPr="00000000" w14:paraId="00000026">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屆理事任期同，得連任。倫理委會互推1人為召集人。委員若</w:t>
      </w:r>
    </w:p>
    <w:p w:rsidR="00000000" w:rsidDel="00000000" w:rsidP="00000000" w:rsidRDefault="00000000" w:rsidRPr="00000000" w14:paraId="00000027">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與申訴兩方具三等內血親關係，或現任之師生關係、同事係、</w:t>
      </w:r>
    </w:p>
    <w:p w:rsidR="00000000" w:rsidDel="00000000" w:rsidP="00000000" w:rsidRDefault="00000000" w:rsidRPr="00000000" w14:paraId="00000028">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督導關係、或其他利害關係者應迴避之。</w:t>
      </w:r>
    </w:p>
    <w:p w:rsidR="00000000" w:rsidDel="00000000" w:rsidP="00000000" w:rsidRDefault="00000000" w:rsidRPr="00000000" w14:paraId="00000029">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二、委員對申訴案件有利害關係者，應自行迴避。</w:t>
      </w:r>
    </w:p>
    <w:p w:rsidR="00000000" w:rsidDel="00000000" w:rsidP="00000000" w:rsidRDefault="00000000" w:rsidRPr="00000000" w14:paraId="0000002A">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三、申訴雙方於申訴案件調查、審議或決議前，亦得以書面提出理</w:t>
      </w:r>
    </w:p>
    <w:p w:rsidR="00000000" w:rsidDel="00000000" w:rsidP="00000000" w:rsidRDefault="00000000" w:rsidRPr="00000000" w14:paraId="0000002B">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由聲請委員迴避。前項聲請由委員會議決議之。</w:t>
      </w:r>
    </w:p>
    <w:p w:rsidR="00000000" w:rsidDel="00000000" w:rsidP="00000000" w:rsidRDefault="00000000" w:rsidRPr="00000000" w14:paraId="0000002C">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四、委員迴避後若少於5人，由候補委員依序遞補至7人。</w:t>
      </w:r>
    </w:p>
    <w:p w:rsidR="00000000" w:rsidDel="00000000" w:rsidP="00000000" w:rsidRDefault="00000000" w:rsidRPr="00000000" w14:paraId="0000002D">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陸、召開審議會議與結果</w:t>
      </w:r>
    </w:p>
    <w:p w:rsidR="00000000" w:rsidDel="00000000" w:rsidP="00000000" w:rsidRDefault="00000000" w:rsidRPr="00000000" w14:paraId="0000002E">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 、案件是否成立須由二分之一委員出席，過半數委員同意始成立。</w:t>
      </w:r>
    </w:p>
    <w:p w:rsidR="00000000" w:rsidDel="00000000" w:rsidP="00000000" w:rsidRDefault="00000000" w:rsidRPr="00000000" w14:paraId="0000002F">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 、倫理委員會審議倫理申訴案件須三分之二以上審議委員出席始得開會，</w:t>
      </w:r>
    </w:p>
    <w:p w:rsidR="00000000" w:rsidDel="00000000" w:rsidP="00000000" w:rsidRDefault="00000000" w:rsidRPr="00000000" w14:paraId="00000030">
      <w:pPr>
        <w:spacing w:line="36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三分之二以上委員同意始得決議。會議由倫理委員會召集人主持。若召集人無法出席，由出席委員互推1人擔任臨時召集人。</w:t>
      </w:r>
    </w:p>
    <w:p w:rsidR="00000000" w:rsidDel="00000000" w:rsidP="00000000" w:rsidRDefault="00000000" w:rsidRPr="00000000" w14:paraId="00000031">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 、審議會議召開前，調查小組應以密件方式提供出席委員相關資料，包括</w:t>
      </w:r>
    </w:p>
    <w:p w:rsidR="00000000" w:rsidDel="00000000" w:rsidP="00000000" w:rsidRDefault="00000000" w:rsidRPr="00000000" w14:paraId="00000032">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調查報告、「諮商倫理案件申訴書」、送至被申訴人處之申訴相關證據與文</w:t>
      </w:r>
    </w:p>
    <w:p w:rsidR="00000000" w:rsidDel="00000000" w:rsidP="00000000" w:rsidRDefault="00000000" w:rsidRPr="00000000" w14:paraId="00000033">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件、被申訴人之答辯，以及由被申訴人與其他相關人士所提供之證據與文</w:t>
      </w:r>
    </w:p>
    <w:p w:rsidR="00000000" w:rsidDel="00000000" w:rsidP="00000000" w:rsidRDefault="00000000" w:rsidRPr="00000000" w14:paraId="00000034">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件等，據以作出審議。</w:t>
      </w:r>
    </w:p>
    <w:p w:rsidR="00000000" w:rsidDel="00000000" w:rsidP="00000000" w:rsidRDefault="00000000" w:rsidRPr="00000000" w14:paraId="00000035">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四、倫理委員會處理申訴的相關紀錄應以機密方式保存十年。</w:t>
      </w:r>
    </w:p>
    <w:p w:rsidR="00000000" w:rsidDel="00000000" w:rsidP="00000000" w:rsidRDefault="00000000" w:rsidRPr="00000000" w14:paraId="00000036">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五、依審議結果．若違反倫理情事確立，應依據相關法規做出處分建議。</w:t>
      </w:r>
    </w:p>
    <w:p w:rsidR="00000000" w:rsidDel="00000000" w:rsidP="00000000" w:rsidRDefault="00000000" w:rsidRPr="00000000" w14:paraId="00000037">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38">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柒、申訴之撤銷與擱置</w:t>
      </w:r>
    </w:p>
    <w:p w:rsidR="00000000" w:rsidDel="00000000" w:rsidP="00000000" w:rsidRDefault="00000000" w:rsidRPr="00000000" w14:paraId="00000039">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 、申訴人以具名方式提出書面申請書，並具明理由同意終止申訴</w:t>
      </w:r>
    </w:p>
    <w:p w:rsidR="00000000" w:rsidDel="00000000" w:rsidP="00000000" w:rsidRDefault="00000000" w:rsidRPr="00000000" w14:paraId="0000003A">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程序，基於自由裁量之原則，倫理委員會可同意撤銷申訴之申</w:t>
      </w:r>
    </w:p>
    <w:p w:rsidR="00000000" w:rsidDel="00000000" w:rsidP="00000000" w:rsidRDefault="00000000" w:rsidRPr="00000000" w14:paraId="0000003B">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請。若申訴人放棄申訴，日後不得再以同一理由進行申訴。</w:t>
      </w:r>
    </w:p>
    <w:p w:rsidR="00000000" w:rsidDel="00000000" w:rsidP="00000000" w:rsidRDefault="00000000" w:rsidRPr="00000000" w14:paraId="0000003C">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 、若根據現有的證據顯示繼續完成程序有其必要，倫理委員會應</w:t>
      </w:r>
    </w:p>
    <w:p w:rsidR="00000000" w:rsidDel="00000000" w:rsidP="00000000" w:rsidRDefault="00000000" w:rsidRPr="00000000" w14:paraId="0000003D">
      <w:pPr>
        <w:spacing w:line="360" w:lineRule="auto"/>
        <w:ind w:firstLine="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另案主動調查。</w:t>
      </w:r>
    </w:p>
    <w:p w:rsidR="00000000" w:rsidDel="00000000" w:rsidP="00000000" w:rsidRDefault="00000000" w:rsidRPr="00000000" w14:paraId="0000003E">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 、若申訴人以同一申訴理由展開法律行動，須知會倫理委員會。</w:t>
      </w:r>
    </w:p>
    <w:p w:rsidR="00000000" w:rsidDel="00000000" w:rsidP="00000000" w:rsidRDefault="00000000" w:rsidRPr="00000000" w14:paraId="0000003F">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 、若在申訴審理期間有與申訴同一理由相關法律行動展開，則申</w:t>
      </w:r>
    </w:p>
    <w:p w:rsidR="00000000" w:rsidDel="00000000" w:rsidP="00000000" w:rsidRDefault="00000000" w:rsidRPr="00000000" w14:paraId="00000040">
      <w:pPr>
        <w:spacing w:line="360" w:lineRule="auto"/>
        <w:ind w:left="48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訴之審理程序將逕行擱置，直到法律行動終結為止。若倫理委員會決議擱置申訴程序，應知會申訴雙方；法律行動終結後，申訴人得再申請繼續申訴，倫理委員會亦應知會申訴雙方。</w:t>
      </w:r>
    </w:p>
    <w:p w:rsidR="00000000" w:rsidDel="00000000" w:rsidP="00000000" w:rsidRDefault="00000000" w:rsidRPr="00000000" w14:paraId="00000041">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42">
      <w:pPr>
        <w:spacing w:line="36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捌、本要點如有未盡事宜，另依相關法令規定辦理之。</w:t>
      </w:r>
    </w:p>
    <w:p w:rsidR="00000000" w:rsidDel="00000000" w:rsidP="00000000" w:rsidRDefault="00000000" w:rsidRPr="00000000" w14:paraId="00000043">
      <w:pPr>
        <w:spacing w:line="36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本要點經理監事聯席會議及會員大會</w:t>
      </w: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過後，自公佈日實施。</w:t>
      </w:r>
      <w:r w:rsidDel="00000000" w:rsidR="00000000" w:rsidRPr="00000000">
        <w:rPr>
          <w:rtl w:val="0"/>
        </w:rPr>
      </w:r>
    </w:p>
    <w:sectPr>
      <w:pgSz w:h="16838" w:w="11906" w:orient="portrait"/>
      <w:pgMar w:bottom="851"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DFKai-SB"/>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72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9"/>
      <w:numFmt w:val="decimal"/>
      <w:lvlText w:val="%1、"/>
      <w:lvlJc w:val="left"/>
      <w:pPr>
        <w:ind w:left="720" w:hanging="72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2"/>
      <w:numFmt w:val="decimal"/>
      <w:lvlText w:val="%1、"/>
      <w:lvlJc w:val="left"/>
      <w:pPr>
        <w:ind w:left="480" w:hanging="480"/>
      </w:pPr>
      <w:rPr/>
    </w:lvl>
    <w:lvl w:ilvl="1">
      <w:start w:val="2"/>
      <w:numFmt w:val="decimal"/>
      <w:lvlText w:val="%2、"/>
      <w:lvlJc w:val="left"/>
      <w:pPr>
        <w:ind w:left="1200" w:hanging="72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4">
    <w:lvl w:ilvl="0">
      <w:start w:val="1"/>
      <w:numFmt w:val="decimal"/>
      <w:lvlText w:val="%1、"/>
      <w:lvlJc w:val="left"/>
      <w:pPr>
        <w:ind w:left="480" w:hanging="480"/>
      </w:pPr>
      <w:rPr/>
    </w:lvl>
    <w:lvl w:ilvl="1">
      <w:start w:val="2"/>
      <w:numFmt w:val="decimal"/>
      <w:lvlText w:val="%2、"/>
      <w:lvlJc w:val="left"/>
      <w:pPr>
        <w:ind w:left="1200" w:hanging="72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widowControl w:val="0"/>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480" w:lineRule="auto"/>
    </w:pPr>
    <w:rPr>
      <w:rFonts w:ascii="Play" w:cs="Play" w:eastAsia="Play" w:hAnsi="Play"/>
      <w:color w:val="0f476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40"/>
      <w:szCs w:val="40"/>
    </w:rPr>
  </w:style>
  <w:style w:type="paragraph" w:styleId="Heading3">
    <w:name w:val="heading 3"/>
    <w:basedOn w:val="Normal"/>
    <w:next w:val="Normal"/>
    <w:pPr>
      <w:keepNext w:val="1"/>
      <w:keepLines w:val="1"/>
      <w:spacing w:after="40" w:before="160" w:lineRule="auto"/>
    </w:pPr>
    <w:rPr>
      <w:color w:val="0f4761"/>
      <w:sz w:val="32"/>
      <w:szCs w:val="32"/>
    </w:rPr>
  </w:style>
  <w:style w:type="paragraph" w:styleId="Heading4">
    <w:name w:val="heading 4"/>
    <w:basedOn w:val="Normal"/>
    <w:next w:val="Normal"/>
    <w:pPr>
      <w:keepNext w:val="1"/>
      <w:keepLines w:val="1"/>
      <w:spacing w:after="40" w:before="160" w:lineRule="auto"/>
    </w:pPr>
    <w:rPr>
      <w:color w:val="0f4761"/>
      <w:sz w:val="28"/>
      <w:szCs w:val="28"/>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7">
    <w:name w:val="heading 7"/>
    <w:basedOn w:val="a"/>
    <w:next w:val="a"/>
    <w:link w:val="70"/>
    <w:uiPriority w:val="9"/>
    <w:semiHidden w:val="1"/>
    <w:unhideWhenUsed w:val="1"/>
    <w:qFormat w:val="1"/>
    <w:rsid w:val="00E93385"/>
    <w:pPr>
      <w:keepNext w:val="1"/>
      <w:keepLines w:val="1"/>
      <w:spacing w:after="0" w:before="40"/>
      <w:ind w:left="100" w:leftChars="10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93385"/>
    <w:pPr>
      <w:keepNext w:val="1"/>
      <w:keepLines w:val="1"/>
      <w:spacing w:after="0" w:before="40"/>
      <w:ind w:left="200" w:leftChars="200"/>
      <w:outlineLvl w:val="7"/>
    </w:pPr>
    <w:rPr>
      <w:rFonts w:cstheme="majorBidi" w:eastAsiaTheme="majorEastAsia"/>
      <w:color w:val="272727" w:themeColor="text1" w:themeTint="0000D8"/>
    </w:rPr>
  </w:style>
  <w:style w:type="paragraph" w:styleId="9">
    <w:name w:val="heading 9"/>
    <w:basedOn w:val="a"/>
    <w:next w:val="a"/>
    <w:link w:val="90"/>
    <w:uiPriority w:val="9"/>
    <w:semiHidden w:val="1"/>
    <w:unhideWhenUsed w:val="1"/>
    <w:qFormat w:val="1"/>
    <w:rsid w:val="00E93385"/>
    <w:pPr>
      <w:keepNext w:val="1"/>
      <w:keepLines w:val="1"/>
      <w:spacing w:after="0"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rsid w:val="00E93385"/>
    <w:rPr>
      <w:rFonts w:asciiTheme="majorHAnsi" w:cstheme="majorBidi" w:eastAsiaTheme="majorEastAsia" w:hAnsiTheme="majorHAnsi"/>
      <w:color w:val="0f4761" w:themeColor="accent1" w:themeShade="0000BF"/>
      <w:sz w:val="48"/>
      <w:szCs w:val="48"/>
    </w:rPr>
  </w:style>
  <w:style w:type="character" w:styleId="20" w:customStyle="1">
    <w:name w:val="標題 2 字元"/>
    <w:basedOn w:val="a0"/>
    <w:link w:val="2"/>
    <w:uiPriority w:val="9"/>
    <w:semiHidden w:val="1"/>
    <w:rsid w:val="00E93385"/>
    <w:rPr>
      <w:rFonts w:asciiTheme="majorHAnsi" w:cstheme="majorBidi" w:eastAsiaTheme="majorEastAsia" w:hAnsiTheme="majorHAnsi"/>
      <w:color w:val="0f4761" w:themeColor="accent1" w:themeShade="0000BF"/>
      <w:sz w:val="40"/>
      <w:szCs w:val="40"/>
    </w:rPr>
  </w:style>
  <w:style w:type="character" w:styleId="30" w:customStyle="1">
    <w:name w:val="標題 3 字元"/>
    <w:basedOn w:val="a0"/>
    <w:link w:val="3"/>
    <w:uiPriority w:val="9"/>
    <w:semiHidden w:val="1"/>
    <w:rsid w:val="00E93385"/>
    <w:rPr>
      <w:rFonts w:cstheme="majorBidi" w:eastAsiaTheme="majorEastAsia"/>
      <w:color w:val="0f4761" w:themeColor="accent1" w:themeShade="0000BF"/>
      <w:sz w:val="32"/>
      <w:szCs w:val="32"/>
    </w:rPr>
  </w:style>
  <w:style w:type="character" w:styleId="40" w:customStyle="1">
    <w:name w:val="標題 4 字元"/>
    <w:basedOn w:val="a0"/>
    <w:link w:val="4"/>
    <w:uiPriority w:val="9"/>
    <w:semiHidden w:val="1"/>
    <w:rsid w:val="00E93385"/>
    <w:rPr>
      <w:rFonts w:cstheme="majorBidi" w:eastAsiaTheme="majorEastAsia"/>
      <w:color w:val="0f4761" w:themeColor="accent1" w:themeShade="0000BF"/>
      <w:sz w:val="28"/>
      <w:szCs w:val="28"/>
    </w:rPr>
  </w:style>
  <w:style w:type="character" w:styleId="50" w:customStyle="1">
    <w:name w:val="標題 5 字元"/>
    <w:basedOn w:val="a0"/>
    <w:link w:val="5"/>
    <w:uiPriority w:val="9"/>
    <w:semiHidden w:val="1"/>
    <w:rsid w:val="00E93385"/>
    <w:rPr>
      <w:rFonts w:cstheme="majorBidi" w:eastAsiaTheme="majorEastAsia"/>
      <w:color w:val="0f4761" w:themeColor="accent1" w:themeShade="0000BF"/>
    </w:rPr>
  </w:style>
  <w:style w:type="character" w:styleId="60" w:customStyle="1">
    <w:name w:val="標題 6 字元"/>
    <w:basedOn w:val="a0"/>
    <w:link w:val="6"/>
    <w:uiPriority w:val="9"/>
    <w:semiHidden w:val="1"/>
    <w:rsid w:val="00E93385"/>
    <w:rPr>
      <w:rFonts w:cstheme="majorBidi" w:eastAsiaTheme="majorEastAsia"/>
      <w:color w:val="595959" w:themeColor="text1" w:themeTint="0000A6"/>
    </w:rPr>
  </w:style>
  <w:style w:type="character" w:styleId="70" w:customStyle="1">
    <w:name w:val="標題 7 字元"/>
    <w:basedOn w:val="a0"/>
    <w:link w:val="7"/>
    <w:uiPriority w:val="9"/>
    <w:semiHidden w:val="1"/>
    <w:rsid w:val="00E93385"/>
    <w:rPr>
      <w:rFonts w:cstheme="majorBidi" w:eastAsiaTheme="majorEastAsia"/>
      <w:color w:val="595959" w:themeColor="text1" w:themeTint="0000A6"/>
    </w:rPr>
  </w:style>
  <w:style w:type="character" w:styleId="80" w:customStyle="1">
    <w:name w:val="標題 8 字元"/>
    <w:basedOn w:val="a0"/>
    <w:link w:val="8"/>
    <w:uiPriority w:val="9"/>
    <w:semiHidden w:val="1"/>
    <w:rsid w:val="00E93385"/>
    <w:rPr>
      <w:rFonts w:cstheme="majorBidi" w:eastAsiaTheme="majorEastAsia"/>
      <w:color w:val="272727" w:themeColor="text1" w:themeTint="0000D8"/>
    </w:rPr>
  </w:style>
  <w:style w:type="character" w:styleId="90" w:customStyle="1">
    <w:name w:val="標題 9 字元"/>
    <w:basedOn w:val="a0"/>
    <w:link w:val="9"/>
    <w:uiPriority w:val="9"/>
    <w:semiHidden w:val="1"/>
    <w:rsid w:val="00E93385"/>
    <w:rPr>
      <w:rFonts w:cstheme="majorBidi" w:eastAsiaTheme="majorEastAsia"/>
      <w:color w:val="272727" w:themeColor="text1" w:themeTint="0000D8"/>
    </w:rPr>
  </w:style>
  <w:style w:type="character" w:styleId="a4" w:customStyle="1">
    <w:name w:val="標題 字元"/>
    <w:basedOn w:val="a0"/>
    <w:link w:val="a3"/>
    <w:uiPriority w:val="10"/>
    <w:rsid w:val="00E93385"/>
    <w:rPr>
      <w:rFonts w:asciiTheme="majorHAnsi" w:cstheme="majorBidi" w:eastAsiaTheme="majorEastAsia" w:hAnsiTheme="majorHAnsi"/>
      <w:spacing w:val="-10"/>
      <w:kern w:val="28"/>
      <w:sz w:val="56"/>
      <w:szCs w:val="56"/>
    </w:rPr>
  </w:style>
  <w:style w:type="character" w:styleId="a6" w:customStyle="1">
    <w:name w:val="副標題 字元"/>
    <w:basedOn w:val="a0"/>
    <w:link w:val="a5"/>
    <w:uiPriority w:val="11"/>
    <w:rsid w:val="00E93385"/>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E93385"/>
    <w:pPr>
      <w:spacing w:before="160"/>
      <w:jc w:val="center"/>
    </w:pPr>
    <w:rPr>
      <w:i w:val="1"/>
      <w:iCs w:val="1"/>
      <w:color w:val="404040" w:themeColor="text1" w:themeTint="0000BF"/>
    </w:rPr>
  </w:style>
  <w:style w:type="character" w:styleId="a8" w:customStyle="1">
    <w:name w:val="引文 字元"/>
    <w:basedOn w:val="a0"/>
    <w:link w:val="a7"/>
    <w:uiPriority w:val="29"/>
    <w:rsid w:val="00E93385"/>
    <w:rPr>
      <w:i w:val="1"/>
      <w:iCs w:val="1"/>
      <w:color w:val="404040" w:themeColor="text1" w:themeTint="0000BF"/>
    </w:rPr>
  </w:style>
  <w:style w:type="paragraph" w:styleId="a9">
    <w:name w:val="List Paragraph"/>
    <w:basedOn w:val="a"/>
    <w:uiPriority w:val="34"/>
    <w:qFormat w:val="1"/>
    <w:rsid w:val="00E93385"/>
    <w:pPr>
      <w:ind w:left="720"/>
      <w:contextualSpacing w:val="1"/>
    </w:pPr>
  </w:style>
  <w:style w:type="character" w:styleId="aa">
    <w:name w:val="Intense Emphasis"/>
    <w:basedOn w:val="a0"/>
    <w:uiPriority w:val="21"/>
    <w:qFormat w:val="1"/>
    <w:rsid w:val="00E93385"/>
    <w:rPr>
      <w:i w:val="1"/>
      <w:iCs w:val="1"/>
      <w:color w:val="0f4761" w:themeColor="accent1" w:themeShade="0000BF"/>
    </w:rPr>
  </w:style>
  <w:style w:type="paragraph" w:styleId="ab">
    <w:name w:val="Intense Quote"/>
    <w:basedOn w:val="a"/>
    <w:next w:val="a"/>
    <w:link w:val="ac"/>
    <w:uiPriority w:val="30"/>
    <w:qFormat w:val="1"/>
    <w:rsid w:val="00E9338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c" w:customStyle="1">
    <w:name w:val="鮮明引文 字元"/>
    <w:basedOn w:val="a0"/>
    <w:link w:val="ab"/>
    <w:uiPriority w:val="30"/>
    <w:rsid w:val="00E93385"/>
    <w:rPr>
      <w:i w:val="1"/>
      <w:iCs w:val="1"/>
      <w:color w:val="0f4761" w:themeColor="accent1" w:themeShade="0000BF"/>
    </w:rPr>
  </w:style>
  <w:style w:type="character" w:styleId="ad">
    <w:name w:val="Intense Reference"/>
    <w:basedOn w:val="a0"/>
    <w:uiPriority w:val="32"/>
    <w:qFormat w:val="1"/>
    <w:rsid w:val="00E93385"/>
    <w:rPr>
      <w:b w:val="1"/>
      <w:bCs w:val="1"/>
      <w:smallCaps w:val="1"/>
      <w:color w:val="0f4761" w:themeColor="accent1" w:themeShade="0000BF"/>
      <w:spacing w:val="5"/>
    </w:rPr>
  </w:style>
  <w:style w:type="paragraph" w:styleId="ae">
    <w:name w:val="Plain Text"/>
    <w:basedOn w:val="a"/>
    <w:link w:val="af"/>
    <w:uiPriority w:val="99"/>
    <w:unhideWhenUsed w:val="1"/>
    <w:rsid w:val="001F6ED5"/>
    <w:pPr>
      <w:spacing w:after="0" w:line="240" w:lineRule="auto"/>
    </w:pPr>
    <w:rPr>
      <w:rFonts w:ascii="Calibri" w:cs="Courier New" w:eastAsia="新細明體" w:hAnsi="Courier New"/>
    </w:rPr>
  </w:style>
  <w:style w:type="character" w:styleId="af" w:customStyle="1">
    <w:name w:val="純文字 字元"/>
    <w:basedOn w:val="a0"/>
    <w:link w:val="ae"/>
    <w:uiPriority w:val="99"/>
    <w:rsid w:val="001F6ED5"/>
    <w:rPr>
      <w:rFonts w:ascii="Calibri" w:cs="Courier New" w:eastAsia="新細明體" w:hAnsi="Courier New"/>
    </w:rPr>
  </w:style>
  <w:style w:type="table" w:styleId="af0">
    <w:name w:val="Table Grid"/>
    <w:basedOn w:val="a1"/>
    <w:uiPriority w:val="39"/>
    <w:rsid w:val="003B0F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1">
    <w:name w:val="header"/>
    <w:basedOn w:val="a"/>
    <w:link w:val="af2"/>
    <w:uiPriority w:val="99"/>
    <w:unhideWhenUsed w:val="1"/>
    <w:rsid w:val="002F0573"/>
    <w:pPr>
      <w:tabs>
        <w:tab w:val="center" w:pos="4153"/>
        <w:tab w:val="right" w:pos="8306"/>
      </w:tabs>
      <w:snapToGrid w:val="0"/>
    </w:pPr>
    <w:rPr>
      <w:sz w:val="20"/>
      <w:szCs w:val="20"/>
    </w:rPr>
  </w:style>
  <w:style w:type="character" w:styleId="af2" w:customStyle="1">
    <w:name w:val="頁首 字元"/>
    <w:basedOn w:val="a0"/>
    <w:link w:val="af1"/>
    <w:uiPriority w:val="99"/>
    <w:rsid w:val="002F0573"/>
    <w:rPr>
      <w:sz w:val="20"/>
      <w:szCs w:val="20"/>
    </w:rPr>
  </w:style>
  <w:style w:type="paragraph" w:styleId="af3">
    <w:name w:val="footer"/>
    <w:basedOn w:val="a"/>
    <w:link w:val="af4"/>
    <w:uiPriority w:val="99"/>
    <w:unhideWhenUsed w:val="1"/>
    <w:rsid w:val="002F0573"/>
    <w:pPr>
      <w:tabs>
        <w:tab w:val="center" w:pos="4153"/>
        <w:tab w:val="right" w:pos="8306"/>
      </w:tabs>
      <w:snapToGrid w:val="0"/>
    </w:pPr>
    <w:rPr>
      <w:sz w:val="20"/>
      <w:szCs w:val="20"/>
    </w:rPr>
  </w:style>
  <w:style w:type="character" w:styleId="af4" w:customStyle="1">
    <w:name w:val="頁尾 字元"/>
    <w:basedOn w:val="a0"/>
    <w:link w:val="af3"/>
    <w:uiPriority w:val="99"/>
    <w:rsid w:val="002F0573"/>
    <w:rPr>
      <w:sz w:val="20"/>
      <w:szCs w:val="20"/>
    </w:rPr>
  </w:style>
  <w:style w:type="table" w:styleId="Table1">
    <w:basedOn w:val="TableNormal"/>
    <w:tblPr>
      <w:tblStyleRowBandSize w:val="1"/>
      <w:tblStyleColBandSize w:val="1"/>
      <w:tblCellMar>
        <w:top w:w="0.0" w:type="dxa"/>
        <w:left w:w="28.0" w:type="dxa"/>
        <w:bottom w:w="0.0" w:type="dxa"/>
        <w:right w:w="28.0" w:type="dxa"/>
      </w:tblCellMar>
    </w:tblPr>
  </w:style>
  <w:style w:type="paragraph" w:styleId="Subtitle">
    <w:name w:val="Subtitle"/>
    <w:basedOn w:val="Normal"/>
    <w:next w:val="Normal"/>
    <w:pPr>
      <w:jc w:val="center"/>
    </w:pPr>
    <w:rPr>
      <w:rFonts w:ascii="Play" w:cs="Play" w:eastAsia="Play" w:hAnsi="Play"/>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TI6GjcJ1qRGBLmxkUlD565eEw==">CgMxLjA4AHIhMWVlZEZCOXJoOE4wOXBQM3pKNGNQdjRiU0x1SGdCb3JI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2025-01-03T06:45:00Z</dcterms:created>
  <dc:creator>Jin-Jun Li</dc:creator>
</cp:coreProperties>
</file>